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121FDA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121FDA" w:rsidRDefault="008F5962" w:rsidP="00121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121FDA" w:rsidRDefault="001551E2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Исполнительный комитет</w:t>
            </w:r>
          </w:p>
          <w:p w:rsidR="008F5962" w:rsidRPr="00121FDA" w:rsidRDefault="00473D86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Ма</w:t>
            </w:r>
            <w:r w:rsidR="00F133BD" w:rsidRPr="00121FDA">
              <w:rPr>
                <w:rFonts w:ascii="Arial" w:hAnsi="Arial" w:cs="Arial"/>
                <w:sz w:val="24"/>
                <w:szCs w:val="24"/>
                <w:lang w:val="tt-RU"/>
              </w:rPr>
              <w:t>каровского</w:t>
            </w:r>
            <w:r w:rsidR="008F5962"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121FDA" w:rsidRDefault="008F5962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121FDA" w:rsidRDefault="007965C7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121FDA" w:rsidRDefault="00F133BD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121FDA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121FDA" w:rsidRDefault="00F133BD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с. Верхняя Уратьма ул. Молодежная, 2</w:t>
            </w:r>
          </w:p>
          <w:p w:rsidR="008F5962" w:rsidRPr="00121FDA" w:rsidRDefault="008F5962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121FDA" w:rsidRDefault="008F5962" w:rsidP="00121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121FDA" w:rsidRDefault="008F5962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121FDA" w:rsidRDefault="00F133BD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121FDA">
              <w:rPr>
                <w:rFonts w:ascii="Arial" w:eastAsia="Calibri" w:hAnsi="Arial" w:cs="Arial"/>
                <w:sz w:val="24"/>
                <w:szCs w:val="24"/>
              </w:rPr>
              <w:t>Макаровка</w:t>
            </w:r>
            <w:proofErr w:type="spellEnd"/>
            <w:r w:rsidR="005A07EB"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121FDA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121FDA" w:rsidRDefault="001551E2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комитеты</w:t>
            </w:r>
          </w:p>
          <w:p w:rsidR="007965C7" w:rsidRPr="00121FDA" w:rsidRDefault="007965C7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133BD" w:rsidRPr="00121FDA" w:rsidRDefault="00F133BD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</w:t>
            </w:r>
          </w:p>
          <w:p w:rsidR="00F133BD" w:rsidRPr="00121FDA" w:rsidRDefault="00F133BD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Уратма авылы, Яшьлер урамы, 2</w:t>
            </w:r>
          </w:p>
          <w:p w:rsidR="008F5962" w:rsidRPr="00121FDA" w:rsidRDefault="008F5962" w:rsidP="00121F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121FDA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21FDA" w:rsidRDefault="00F34F7C" w:rsidP="00121FD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121FDA">
              <w:rPr>
                <w:rFonts w:ascii="Arial" w:hAnsi="Arial" w:cs="Arial"/>
                <w:sz w:val="24"/>
                <w:szCs w:val="24"/>
                <w:lang w:val="tt-RU"/>
              </w:rPr>
              <w:t>33-</w:t>
            </w:r>
            <w:r w:rsidR="00F133BD" w:rsidRPr="00121FDA">
              <w:rPr>
                <w:rFonts w:ascii="Arial" w:hAnsi="Arial" w:cs="Arial"/>
                <w:sz w:val="24"/>
                <w:szCs w:val="24"/>
                <w:lang w:val="tt-RU"/>
              </w:rPr>
              <w:t>21-44</w:t>
            </w: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F133BD" w:rsidRPr="00121FDA">
              <w:rPr>
                <w:rFonts w:ascii="Arial" w:eastAsia="Calibri" w:hAnsi="Arial" w:cs="Arial"/>
                <w:bCs/>
                <w:sz w:val="24"/>
                <w:szCs w:val="24"/>
              </w:rPr>
              <w:t>sp.makarovskoe@tatar.ru</w:t>
            </w:r>
            <w:r w:rsidRPr="00121FD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121FDA" w:rsidRDefault="00F34F7C" w:rsidP="00121FD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1FDA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121FDA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121FD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121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3BD" w:rsidRPr="00121FDA">
              <w:rPr>
                <w:rFonts w:ascii="Arial" w:hAnsi="Arial" w:cs="Arial"/>
                <w:bCs/>
                <w:sz w:val="24"/>
                <w:szCs w:val="24"/>
              </w:rPr>
              <w:t>makarovskoe-sp.ru</w:t>
            </w:r>
          </w:p>
        </w:tc>
      </w:tr>
    </w:tbl>
    <w:p w:rsidR="006C32F5" w:rsidRPr="00121FDA" w:rsidRDefault="006C32F5" w:rsidP="00121F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121FDA" w:rsidRDefault="006C32F5" w:rsidP="00121FD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8269A" w:rsidRPr="00121FDA" w:rsidRDefault="00C8269A" w:rsidP="00121FD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121FDA">
        <w:rPr>
          <w:rFonts w:ascii="Arial" w:hAnsi="Arial" w:cs="Arial"/>
          <w:sz w:val="24"/>
          <w:szCs w:val="24"/>
          <w:lang w:val="tt-RU"/>
        </w:rPr>
        <w:t xml:space="preserve">                  </w:t>
      </w:r>
      <w:r w:rsidR="00121FDA">
        <w:rPr>
          <w:rFonts w:ascii="Arial" w:hAnsi="Arial" w:cs="Arial"/>
          <w:sz w:val="24"/>
          <w:szCs w:val="24"/>
          <w:lang w:val="tt-RU"/>
        </w:rPr>
        <w:t xml:space="preserve">      </w:t>
      </w:r>
      <w:r w:rsidRPr="00121FDA">
        <w:rPr>
          <w:rFonts w:ascii="Arial" w:hAnsi="Arial" w:cs="Arial"/>
          <w:sz w:val="24"/>
          <w:szCs w:val="24"/>
          <w:lang w:val="tt-RU"/>
        </w:rPr>
        <w:t xml:space="preserve">ПОСТАНОВЛЕНИЕ                                                </w:t>
      </w:r>
      <w:r w:rsidR="00121FDA">
        <w:rPr>
          <w:rFonts w:ascii="Arial" w:hAnsi="Arial" w:cs="Arial"/>
          <w:sz w:val="24"/>
          <w:szCs w:val="24"/>
          <w:lang w:val="tt-RU"/>
        </w:rPr>
        <w:t xml:space="preserve">       </w:t>
      </w:r>
      <w:r w:rsidRPr="00121FDA">
        <w:rPr>
          <w:rFonts w:ascii="Arial" w:hAnsi="Arial" w:cs="Arial"/>
          <w:sz w:val="24"/>
          <w:szCs w:val="24"/>
          <w:lang w:val="tt-RU"/>
        </w:rPr>
        <w:t xml:space="preserve"> КАРАР</w:t>
      </w:r>
    </w:p>
    <w:p w:rsidR="00C462ED" w:rsidRPr="00121FDA" w:rsidRDefault="00C462ED" w:rsidP="00121FD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C462ED" w:rsidRPr="00121FDA" w:rsidRDefault="00C462ED" w:rsidP="00121FD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8B4DDF" w:rsidRPr="00CF367F" w:rsidRDefault="008B4DDF" w:rsidP="008B4DD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CF367F">
        <w:rPr>
          <w:rFonts w:ascii="Arial" w:hAnsi="Arial" w:cs="Arial"/>
          <w:sz w:val="24"/>
          <w:szCs w:val="24"/>
          <w:lang w:val="tt-RU"/>
        </w:rPr>
        <w:t xml:space="preserve">от 27.03.2020 г.                                                                                                                    № </w:t>
      </w:r>
      <w:r w:rsidR="00467543">
        <w:rPr>
          <w:rFonts w:ascii="Arial" w:hAnsi="Arial" w:cs="Arial"/>
          <w:sz w:val="24"/>
          <w:szCs w:val="24"/>
          <w:lang w:val="tt-RU"/>
        </w:rPr>
        <w:t>3</w:t>
      </w:r>
    </w:p>
    <w:p w:rsidR="008B4DDF" w:rsidRPr="00CF367F" w:rsidRDefault="008B4DDF" w:rsidP="008B4DD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8B4DDF" w:rsidRPr="00CF367F" w:rsidRDefault="008B4DDF" w:rsidP="008B4D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Об утверждении Порядка формирования перечня налоговых расходов и оценки налоговых расходов </w:t>
      </w:r>
      <w:proofErr w:type="spellStart"/>
      <w:r w:rsidR="0006689D">
        <w:rPr>
          <w:rFonts w:ascii="Arial" w:hAnsi="Arial" w:cs="Arial"/>
          <w:sz w:val="24"/>
          <w:szCs w:val="24"/>
        </w:rPr>
        <w:t>Макаровского</w:t>
      </w:r>
      <w:proofErr w:type="spellEnd"/>
      <w:r w:rsidRPr="00CF367F">
        <w:rPr>
          <w:rFonts w:ascii="Arial" w:hAnsi="Arial" w:cs="Arial"/>
          <w:sz w:val="24"/>
          <w:szCs w:val="24"/>
        </w:rPr>
        <w:t xml:space="preserve"> сельского поселения в 2020 году</w:t>
      </w:r>
    </w:p>
    <w:p w:rsidR="008B4DDF" w:rsidRPr="00CF367F" w:rsidRDefault="008B4DDF" w:rsidP="008B4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В соответствии со статьей 174</w:t>
      </w:r>
      <w:r w:rsidRPr="00CF367F">
        <w:rPr>
          <w:rFonts w:ascii="Arial" w:hAnsi="Arial" w:cs="Arial"/>
          <w:sz w:val="24"/>
          <w:szCs w:val="24"/>
          <w:vertAlign w:val="superscript"/>
        </w:rPr>
        <w:t>3</w:t>
      </w:r>
      <w:r w:rsidRPr="00CF367F">
        <w:rPr>
          <w:rFonts w:ascii="Arial" w:hAnsi="Arial" w:cs="Arial"/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22 июня 2019 г. №796 «Об общих требованиях к оценке налоговых расходов субъектов Российской Федерации и муниципальных образований», постановляю:</w:t>
      </w:r>
    </w:p>
    <w:p w:rsidR="008B4DDF" w:rsidRPr="00CF367F" w:rsidRDefault="008B4DDF" w:rsidP="008B4D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F367F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прилагаемый Порядок формирования перечня налоговых расходов, и порядок проведения оценки налоговых расходов </w:t>
      </w:r>
      <w:proofErr w:type="spellStart"/>
      <w:r w:rsidR="0006689D">
        <w:rPr>
          <w:rFonts w:ascii="Arial" w:hAnsi="Arial" w:cs="Arial"/>
          <w:sz w:val="24"/>
          <w:szCs w:val="24"/>
        </w:rPr>
        <w:t>Макаровского</w:t>
      </w:r>
      <w:proofErr w:type="spellEnd"/>
      <w:r w:rsidR="0006689D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CF367F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8B4DDF" w:rsidRPr="00CF367F" w:rsidRDefault="008B4DDF" w:rsidP="008B4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2. Предложить Управлению Федеральной налоговой службы по Республике Татарстан до 1 сентября направить в исполнительный комитет </w:t>
      </w:r>
      <w:proofErr w:type="spellStart"/>
      <w:r w:rsidR="0006689D">
        <w:rPr>
          <w:rFonts w:ascii="Arial" w:hAnsi="Arial" w:cs="Arial"/>
          <w:sz w:val="24"/>
          <w:szCs w:val="24"/>
        </w:rPr>
        <w:t>Макаровского</w:t>
      </w:r>
      <w:proofErr w:type="spellEnd"/>
      <w:r w:rsidR="0006689D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>сельского поселения сведения за отчетный год, за год, предшествующий отчетному году: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о количестве плательщиков, воспользовавшихся льготами;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о суммах выпадающих доходов бюджета </w:t>
      </w:r>
      <w:proofErr w:type="spellStart"/>
      <w:r w:rsidR="0006689D">
        <w:rPr>
          <w:rFonts w:ascii="Arial" w:hAnsi="Arial" w:cs="Arial"/>
          <w:sz w:val="24"/>
          <w:szCs w:val="24"/>
        </w:rPr>
        <w:t>Макаровского</w:t>
      </w:r>
      <w:proofErr w:type="spellEnd"/>
      <w:r w:rsidR="0006689D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 xml:space="preserve">сельского поселения по каждому налоговому расходу </w:t>
      </w:r>
      <w:proofErr w:type="spellStart"/>
      <w:r w:rsidR="0006689D">
        <w:rPr>
          <w:rFonts w:ascii="Arial" w:hAnsi="Arial" w:cs="Arial"/>
          <w:sz w:val="24"/>
          <w:szCs w:val="24"/>
        </w:rPr>
        <w:t>Макаровского</w:t>
      </w:r>
      <w:proofErr w:type="spellEnd"/>
      <w:r w:rsidR="0006689D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>сельского поселения.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8B4DDF" w:rsidRPr="00CF367F" w:rsidRDefault="008B4DDF" w:rsidP="008B4DDF">
      <w:pPr>
        <w:keepNext/>
        <w:keepLines/>
        <w:spacing w:after="0" w:line="240" w:lineRule="auto"/>
        <w:ind w:firstLine="540"/>
        <w:jc w:val="both"/>
        <w:outlineLvl w:val="0"/>
        <w:rPr>
          <w:rFonts w:ascii="Arial" w:eastAsiaTheme="majorEastAsia" w:hAnsi="Arial" w:cs="Arial"/>
          <w:sz w:val="24"/>
          <w:szCs w:val="24"/>
        </w:rPr>
      </w:pPr>
      <w:r w:rsidRPr="00CF367F">
        <w:rPr>
          <w:rFonts w:ascii="Arial" w:eastAsiaTheme="majorEastAsia" w:hAnsi="Arial" w:cs="Arial"/>
          <w:bCs/>
          <w:sz w:val="24"/>
          <w:szCs w:val="24"/>
        </w:rPr>
        <w:t xml:space="preserve">3.  </w:t>
      </w:r>
      <w:proofErr w:type="gramStart"/>
      <w:r w:rsidRPr="00CF367F">
        <w:rPr>
          <w:rFonts w:ascii="Arial" w:eastAsiaTheme="majorEastAsia" w:hAnsi="Arial" w:cs="Arial"/>
          <w:bCs/>
          <w:sz w:val="24"/>
          <w:szCs w:val="24"/>
        </w:rPr>
        <w:t>Контроль за</w:t>
      </w:r>
      <w:proofErr w:type="gramEnd"/>
      <w:r w:rsidRPr="00CF367F">
        <w:rPr>
          <w:rFonts w:ascii="Arial" w:eastAsiaTheme="majorEastAsia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8B4DDF" w:rsidRPr="00CF367F" w:rsidRDefault="008B4DDF" w:rsidP="008B4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F367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8B4DDF" w:rsidRPr="00CF367F" w:rsidRDefault="008B4DDF" w:rsidP="008B4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B4DDF" w:rsidRPr="008B4DDF" w:rsidRDefault="008B4DDF" w:rsidP="008B4DDF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bCs/>
          <w:sz w:val="24"/>
          <w:szCs w:val="24"/>
          <w:highlight w:val="lightGray"/>
          <w:lang w:eastAsia="ru-RU"/>
        </w:rPr>
      </w:pPr>
    </w:p>
    <w:p w:rsidR="008B4DDF" w:rsidRPr="00CF367F" w:rsidRDefault="008B4DDF" w:rsidP="008B4DDF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F367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</w:t>
      </w:r>
      <w:r w:rsidR="000668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Т.К. </w:t>
      </w:r>
      <w:proofErr w:type="spellStart"/>
      <w:r w:rsidR="0006689D">
        <w:rPr>
          <w:rFonts w:ascii="Arial" w:eastAsia="Times New Roman" w:hAnsi="Arial" w:cs="Arial"/>
          <w:bCs/>
          <w:sz w:val="24"/>
          <w:szCs w:val="24"/>
          <w:lang w:eastAsia="ru-RU"/>
        </w:rPr>
        <w:t>Ладнушкина</w:t>
      </w:r>
      <w:proofErr w:type="spellEnd"/>
    </w:p>
    <w:p w:rsidR="008B4DDF" w:rsidRPr="00CF367F" w:rsidRDefault="008B4DDF" w:rsidP="008B4DDF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left="7092" w:firstLine="696"/>
        <w:contextualSpacing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tabs>
          <w:tab w:val="left" w:pos="4962"/>
        </w:tabs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8B4DDF" w:rsidRPr="00CF367F" w:rsidRDefault="008B4DDF" w:rsidP="008B4DDF">
      <w:pPr>
        <w:tabs>
          <w:tab w:val="left" w:pos="4962"/>
        </w:tabs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постановлением </w:t>
      </w:r>
    </w:p>
    <w:p w:rsidR="008B4DDF" w:rsidRPr="00CF367F" w:rsidRDefault="008B4DDF" w:rsidP="008B4DDF">
      <w:pPr>
        <w:tabs>
          <w:tab w:val="left" w:pos="4962"/>
        </w:tabs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исполнительного комитета</w:t>
      </w:r>
    </w:p>
    <w:p w:rsidR="008B4DDF" w:rsidRPr="00CF367F" w:rsidRDefault="0006689D" w:rsidP="008B4DDF">
      <w:pPr>
        <w:tabs>
          <w:tab w:val="left" w:pos="4962"/>
        </w:tabs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Макаровского</w:t>
      </w:r>
      <w:proofErr w:type="spellEnd"/>
      <w:r w:rsidR="008B4DDF" w:rsidRPr="00CF367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B4DDF" w:rsidRPr="00CF367F" w:rsidRDefault="008B4DDF" w:rsidP="008B4DDF">
      <w:pPr>
        <w:tabs>
          <w:tab w:val="left" w:pos="4962"/>
        </w:tabs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от 27.03.2020г. № </w:t>
      </w:r>
      <w:r w:rsidR="00467543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</w:p>
    <w:p w:rsidR="008B4DDF" w:rsidRPr="00CF367F" w:rsidRDefault="008B4DDF" w:rsidP="008B4DDF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Порядок</w:t>
      </w:r>
    </w:p>
    <w:p w:rsidR="008B4DDF" w:rsidRPr="00CF367F" w:rsidRDefault="008B4DDF" w:rsidP="008B4DDF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формирования перечня налоговых расходов и проведения</w:t>
      </w:r>
    </w:p>
    <w:p w:rsidR="008B4DDF" w:rsidRPr="00CF367F" w:rsidRDefault="008B4DDF" w:rsidP="008B4DDF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оценки налоговых расходов </w:t>
      </w:r>
      <w:proofErr w:type="spellStart"/>
      <w:r w:rsidR="0006689D">
        <w:rPr>
          <w:rFonts w:ascii="Arial" w:hAnsi="Arial" w:cs="Arial"/>
          <w:sz w:val="24"/>
          <w:szCs w:val="24"/>
        </w:rPr>
        <w:t>Макаровского</w:t>
      </w:r>
      <w:proofErr w:type="spellEnd"/>
      <w:r w:rsidR="0006689D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 xml:space="preserve">сельского поселения в 2020 году                                                        </w:t>
      </w:r>
    </w:p>
    <w:p w:rsidR="008B4DDF" w:rsidRPr="00CF367F" w:rsidRDefault="008B4DDF" w:rsidP="008B4DDF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  <w:lang w:val="en-US"/>
        </w:rPr>
        <w:t>I</w:t>
      </w:r>
      <w:r w:rsidRPr="00CF367F">
        <w:rPr>
          <w:rFonts w:ascii="Arial" w:hAnsi="Arial" w:cs="Arial"/>
          <w:sz w:val="24"/>
          <w:szCs w:val="24"/>
        </w:rPr>
        <w:t>. Общие положения</w:t>
      </w:r>
    </w:p>
    <w:p w:rsidR="008B4DDF" w:rsidRPr="00CF367F" w:rsidRDefault="008B4DDF" w:rsidP="008B4DDF">
      <w:pPr>
        <w:spacing w:after="0" w:line="240" w:lineRule="auto"/>
        <w:ind w:left="708"/>
        <w:contextualSpacing/>
        <w:jc w:val="both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1. Настоящий Порядок определяет правила формирования перечня налоговых расходов </w:t>
      </w:r>
      <w:proofErr w:type="spellStart"/>
      <w:r w:rsidR="0006689D">
        <w:rPr>
          <w:rFonts w:ascii="Arial" w:hAnsi="Arial" w:cs="Arial"/>
          <w:sz w:val="24"/>
          <w:szCs w:val="24"/>
        </w:rPr>
        <w:t>Макаровского</w:t>
      </w:r>
      <w:proofErr w:type="spellEnd"/>
      <w:r w:rsidR="0006689D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 xml:space="preserve">сельского поселения и оценки налоговых расходов </w:t>
      </w:r>
      <w:proofErr w:type="spellStart"/>
      <w:r w:rsidR="0006689D">
        <w:rPr>
          <w:rFonts w:ascii="Arial" w:hAnsi="Arial" w:cs="Arial"/>
          <w:sz w:val="24"/>
          <w:szCs w:val="24"/>
        </w:rPr>
        <w:t>Макаровского</w:t>
      </w:r>
      <w:proofErr w:type="spellEnd"/>
      <w:r w:rsidR="0006689D" w:rsidRPr="00CF367F">
        <w:rPr>
          <w:rFonts w:ascii="Arial" w:hAnsi="Arial" w:cs="Arial"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>сельского поселения (далее – Порядок, муниципальное  образование).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2. В настоящем Порядке используются термины и понятия, установленные</w:t>
      </w:r>
      <w:r w:rsidRPr="00CF367F">
        <w:rPr>
          <w:rFonts w:ascii="Arial" w:hAnsi="Arial" w:cs="Arial"/>
          <w:i/>
          <w:sz w:val="24"/>
          <w:szCs w:val="24"/>
        </w:rPr>
        <w:t xml:space="preserve"> </w:t>
      </w:r>
      <w:r w:rsidRPr="00CF367F">
        <w:rPr>
          <w:rFonts w:ascii="Arial" w:hAnsi="Arial" w:cs="Arial"/>
          <w:sz w:val="24"/>
          <w:szCs w:val="24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(далее - Общие требования).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4"/>
      <w:r w:rsidRPr="00CF367F">
        <w:rPr>
          <w:rFonts w:ascii="Arial" w:hAnsi="Arial" w:cs="Arial"/>
          <w:sz w:val="24"/>
          <w:szCs w:val="24"/>
        </w:rPr>
        <w:t>3.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1"/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4. В целях оценки налоговых расходов муниципального образования исполнительный комитет муниципального образования (либо иной уполномоченный орган):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формирует перечень налоговых расходов муниципального образования;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осуществляет анализ и обобщение результатов оценки налоговых расходов муниципального образования.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  <w:lang w:val="en-US"/>
        </w:rPr>
        <w:t>II</w:t>
      </w:r>
      <w:r w:rsidRPr="00CF367F">
        <w:rPr>
          <w:rFonts w:ascii="Arial" w:hAnsi="Arial" w:cs="Arial"/>
          <w:sz w:val="24"/>
          <w:szCs w:val="24"/>
        </w:rPr>
        <w:t>. Формирование перечня налоговых расходов муниципального образования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5. 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(либо иным уполномоченным органом) и утверждается до 1 июня текущего года.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6. Утвержденный Перечень налоговых расходов муниципального образования размещается на официальном сайте муниципального образования не позднее 1 июля текущего года.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год, предшествующий </w:t>
      </w:r>
      <w:proofErr w:type="gramStart"/>
      <w:r w:rsidRPr="00CF367F">
        <w:rPr>
          <w:rFonts w:ascii="Arial" w:hAnsi="Arial" w:cs="Arial"/>
          <w:sz w:val="24"/>
          <w:szCs w:val="24"/>
        </w:rPr>
        <w:t>отчетному</w:t>
      </w:r>
      <w:proofErr w:type="gramEnd"/>
      <w:r w:rsidRPr="00CF367F">
        <w:rPr>
          <w:rFonts w:ascii="Arial" w:hAnsi="Arial" w:cs="Arial"/>
          <w:sz w:val="24"/>
          <w:szCs w:val="24"/>
        </w:rPr>
        <w:t>.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8. В целях проведения оценки налоговых расходов муниципального образования исполнительный комитет муниципального образования (либо иной уполномоченный орган)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 w:rsidRPr="00CF367F">
        <w:rPr>
          <w:rFonts w:ascii="Arial" w:hAnsi="Arial" w:cs="Arial"/>
          <w:sz w:val="24"/>
          <w:szCs w:val="24"/>
        </w:rPr>
        <w:t>плательщиков</w:t>
      </w:r>
      <w:proofErr w:type="gramEnd"/>
      <w:r w:rsidRPr="00CF367F">
        <w:rPr>
          <w:rFonts w:ascii="Arial" w:hAnsi="Arial" w:cs="Arial"/>
          <w:sz w:val="24"/>
          <w:szCs w:val="24"/>
        </w:rPr>
        <w:t xml:space="preserve"> с указанием </w:t>
      </w:r>
      <w:r w:rsidRPr="00CF367F">
        <w:rPr>
          <w:rFonts w:ascii="Arial" w:hAnsi="Arial" w:cs="Arial"/>
          <w:sz w:val="24"/>
          <w:szCs w:val="24"/>
        </w:rPr>
        <w:lastRenderedPageBreak/>
        <w:t xml:space="preserve">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6" w:history="1">
        <w:r w:rsidRPr="00CF367F">
          <w:rPr>
            <w:rFonts w:ascii="Arial" w:hAnsi="Arial" w:cs="Arial"/>
            <w:sz w:val="24"/>
            <w:szCs w:val="24"/>
          </w:rPr>
          <w:t>приложением</w:t>
        </w:r>
      </w:hyperlink>
      <w:r w:rsidRPr="00CF367F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9. 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исполнительный комитет муниципального образования в течение 10 рабочих дней </w:t>
      </w:r>
      <w:proofErr w:type="gramStart"/>
      <w:r w:rsidRPr="00CF367F">
        <w:rPr>
          <w:rFonts w:ascii="Arial" w:hAnsi="Arial" w:cs="Arial"/>
          <w:sz w:val="24"/>
          <w:szCs w:val="24"/>
        </w:rPr>
        <w:t>с даты вступления</w:t>
      </w:r>
      <w:proofErr w:type="gramEnd"/>
      <w:r w:rsidRPr="00CF367F">
        <w:rPr>
          <w:rFonts w:ascii="Arial" w:hAnsi="Arial" w:cs="Arial"/>
          <w:sz w:val="24"/>
          <w:szCs w:val="24"/>
        </w:rPr>
        <w:t xml:space="preserve"> в силу соответствующего нормативного правового акта, вносит соответствующие изменения в Перечень налоговых расходов муниципального образования.</w:t>
      </w:r>
    </w:p>
    <w:p w:rsidR="008B4DDF" w:rsidRPr="00CF367F" w:rsidRDefault="008B4DDF" w:rsidP="008B4D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P53"/>
      <w:bookmarkEnd w:id="2"/>
    </w:p>
    <w:p w:rsidR="008B4DDF" w:rsidRPr="00CF367F" w:rsidRDefault="008B4DDF" w:rsidP="008B4D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3" w:name="P55"/>
      <w:bookmarkEnd w:id="3"/>
      <w:r w:rsidRPr="00CF367F">
        <w:rPr>
          <w:rFonts w:ascii="Arial" w:hAnsi="Arial" w:cs="Arial"/>
          <w:sz w:val="24"/>
          <w:szCs w:val="24"/>
          <w:lang w:val="en-US"/>
        </w:rPr>
        <w:t>III</w:t>
      </w:r>
      <w:r w:rsidRPr="00CF367F">
        <w:rPr>
          <w:rFonts w:ascii="Arial" w:hAnsi="Arial" w:cs="Arial"/>
          <w:sz w:val="24"/>
          <w:szCs w:val="24"/>
        </w:rPr>
        <w:t>. Порядок оценки налоговых расходов муниципального образования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10. Оценка налоговых расходов осуществляется исполнительным комитетом муниципального образования (либо иным уполномоченным органом) и включает: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оценку объемов налоговых расходов муниципального образования;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оценку эффективности налоговых расходов муниципального образования.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11. Оценка эффективности налоговых расходов муниципального образования включает: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оценку целесообразности налоговых расходов муниципального образования;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оценку результативности налоговых расходов муниципального образования.</w:t>
      </w: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12. Критериями целесообразности налоговых расходов муниципального образования являются:</w:t>
      </w: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CF367F">
        <w:rPr>
          <w:rFonts w:ascii="Arial" w:hAnsi="Arial" w:cs="Arial"/>
          <w:sz w:val="24"/>
          <w:szCs w:val="24"/>
        </w:rPr>
        <w:t>,</w:t>
      </w:r>
      <w:r w:rsidRPr="00CF367F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период.</w:t>
      </w: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Pr="00CF367F">
        <w:rPr>
          <w:rFonts w:ascii="Arial" w:hAnsi="Arial" w:cs="Arial"/>
          <w:sz w:val="24"/>
          <w:szCs w:val="24"/>
        </w:rPr>
        <w:t xml:space="preserve">исполнительному комитету муниципального образования (либо иному уполномоченному органу) </w:t>
      </w:r>
      <w:r w:rsidRPr="00CF367F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 w:rsidRPr="00CF367F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Pr="00CF367F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14.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lastRenderedPageBreak/>
        <w:t xml:space="preserve">15. В целях </w:t>
      </w:r>
      <w:proofErr w:type="gramStart"/>
      <w:r w:rsidRPr="00CF367F">
        <w:rPr>
          <w:rFonts w:ascii="Arial" w:eastAsia="Calibri" w:hAnsi="Arial" w:cs="Arial"/>
          <w:sz w:val="24"/>
          <w:szCs w:val="24"/>
        </w:rPr>
        <w:t>проведения оценки бюджетной эффективности налоговых расходов муниципального образования</w:t>
      </w:r>
      <w:proofErr w:type="gramEnd"/>
      <w:r w:rsidRPr="00CF367F">
        <w:rPr>
          <w:rFonts w:ascii="Arial" w:eastAsia="Calibri" w:hAnsi="Arial" w:cs="Arial"/>
          <w:sz w:val="24"/>
          <w:szCs w:val="24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16. </w:t>
      </w:r>
      <w:proofErr w:type="gramStart"/>
      <w:r w:rsidRPr="00CF367F">
        <w:rPr>
          <w:rFonts w:ascii="Arial" w:eastAsia="Calibri" w:hAnsi="Arial" w:cs="Arial"/>
          <w:sz w:val="24"/>
          <w:szCs w:val="24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proofErr w:type="gramEnd"/>
      <w:r w:rsidRPr="00CF367F">
        <w:rPr>
          <w:rFonts w:ascii="Arial" w:eastAsia="Calibri" w:hAnsi="Arial" w:cs="Arial"/>
          <w:sz w:val="24"/>
          <w:szCs w:val="24"/>
        </w:rPr>
        <w:t xml:space="preserve">,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 xml:space="preserve">В качестве альтернативных </w:t>
      </w:r>
      <w:proofErr w:type="gramStart"/>
      <w:r w:rsidRPr="00CF367F">
        <w:rPr>
          <w:rFonts w:ascii="Arial" w:eastAsia="Calibri" w:hAnsi="Arial" w:cs="Arial"/>
          <w:sz w:val="24"/>
          <w:szCs w:val="24"/>
        </w:rPr>
        <w:t>механизмов достижения целей муниципальной программы муниципального образования</w:t>
      </w:r>
      <w:proofErr w:type="gramEnd"/>
      <w:r w:rsidRPr="00CF367F">
        <w:rPr>
          <w:rFonts w:ascii="Arial" w:eastAsia="Calibri" w:hAnsi="Arial" w:cs="Arial"/>
          <w:sz w:val="24"/>
          <w:szCs w:val="24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б) предоставление муниципальных гарантий по обязательствам плательщиков, имеющих право на льготы;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17. Оценка налоговых расходов муниципального образования осуществляется до 1 октября и содержит: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информацию по Перечню показателей для проведения оценки налоговых расходов;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 xml:space="preserve"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 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предложения о наличии (отсутствии) более результативных альтернативных механизмов их достижения;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8B4DDF" w:rsidRPr="00CF367F" w:rsidRDefault="008B4DDF" w:rsidP="008B4DD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F367F">
        <w:rPr>
          <w:rFonts w:ascii="Arial" w:hAnsi="Arial" w:cs="Arial"/>
          <w:sz w:val="24"/>
          <w:szCs w:val="24"/>
        </w:rPr>
        <w:t>18. 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8B4DDF" w:rsidRPr="00CF367F" w:rsidRDefault="008B4DDF" w:rsidP="008B4DD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8B4DDF" w:rsidRPr="00CF367F" w:rsidRDefault="008B4DDF" w:rsidP="008B4DDF">
      <w:pPr>
        <w:spacing w:after="0" w:line="240" w:lineRule="auto"/>
        <w:ind w:left="4956"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>Приложение</w:t>
      </w:r>
    </w:p>
    <w:p w:rsidR="008B4DDF" w:rsidRPr="00CF367F" w:rsidRDefault="008B4DDF" w:rsidP="008B4DDF">
      <w:pPr>
        <w:spacing w:after="0" w:line="240" w:lineRule="auto"/>
        <w:ind w:left="4956"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 xml:space="preserve">к Порядку формирования </w:t>
      </w:r>
    </w:p>
    <w:p w:rsidR="008B4DDF" w:rsidRPr="00CF367F" w:rsidRDefault="008B4DDF" w:rsidP="008B4DDF">
      <w:pPr>
        <w:spacing w:after="0" w:line="240" w:lineRule="auto"/>
        <w:ind w:left="4956" w:firstLine="709"/>
        <w:jc w:val="both"/>
        <w:rPr>
          <w:rFonts w:ascii="Arial" w:eastAsia="Calibri" w:hAnsi="Arial" w:cs="Arial"/>
          <w:sz w:val="24"/>
          <w:szCs w:val="24"/>
        </w:rPr>
      </w:pPr>
      <w:r w:rsidRPr="00CF367F">
        <w:rPr>
          <w:rFonts w:ascii="Arial" w:eastAsia="Calibri" w:hAnsi="Arial" w:cs="Arial"/>
          <w:sz w:val="24"/>
          <w:szCs w:val="24"/>
        </w:rPr>
        <w:t xml:space="preserve">перечня налоговых расходов </w:t>
      </w:r>
    </w:p>
    <w:p w:rsidR="008B4DDF" w:rsidRPr="00CF367F" w:rsidRDefault="0006689D" w:rsidP="008B4DDF">
      <w:pPr>
        <w:spacing w:after="0" w:line="240" w:lineRule="auto"/>
        <w:ind w:left="4956"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Макаровского</w:t>
      </w:r>
      <w:proofErr w:type="spellEnd"/>
      <w:r w:rsidRPr="00CF367F">
        <w:rPr>
          <w:rFonts w:ascii="Arial" w:hAnsi="Arial" w:cs="Arial"/>
          <w:sz w:val="24"/>
          <w:szCs w:val="24"/>
        </w:rPr>
        <w:t xml:space="preserve"> </w:t>
      </w:r>
      <w:r w:rsidR="008B4DDF" w:rsidRPr="00CF367F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8B4DDF" w:rsidRPr="00CF367F" w:rsidRDefault="008B4DDF" w:rsidP="008B4DDF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CF367F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8B4DDF" w:rsidRPr="00CF367F" w:rsidRDefault="0006689D" w:rsidP="008B4D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Макаровского</w:t>
      </w:r>
      <w:proofErr w:type="spellEnd"/>
      <w:r w:rsidRPr="00CF367F">
        <w:rPr>
          <w:rFonts w:ascii="Arial" w:hAnsi="Arial" w:cs="Arial"/>
          <w:sz w:val="24"/>
          <w:szCs w:val="24"/>
        </w:rPr>
        <w:t xml:space="preserve"> </w:t>
      </w:r>
      <w:r w:rsidR="008B4DDF" w:rsidRPr="00CF367F">
        <w:rPr>
          <w:rFonts w:ascii="Arial" w:hAnsi="Arial" w:cs="Arial"/>
          <w:sz w:val="24"/>
          <w:szCs w:val="24"/>
        </w:rPr>
        <w:t>сельского поселения</w:t>
      </w: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p w:rsidR="008B4DDF" w:rsidRPr="00CF367F" w:rsidRDefault="008B4DDF" w:rsidP="008B4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tbl>
      <w:tblPr>
        <w:tblW w:w="103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6382"/>
        <w:gridCol w:w="3402"/>
      </w:tblGrid>
      <w:tr w:rsidR="008B4DDF" w:rsidRPr="00CF367F" w:rsidTr="001820F6">
        <w:tc>
          <w:tcPr>
            <w:tcW w:w="6946" w:type="dxa"/>
            <w:gridSpan w:val="2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8B4DDF" w:rsidRPr="00CF367F" w:rsidTr="001820F6">
        <w:tc>
          <w:tcPr>
            <w:tcW w:w="10348" w:type="dxa"/>
            <w:gridSpan w:val="3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.Нормативные и целевые характеристики налогового расхода</w:t>
            </w:r>
            <w:r w:rsidRPr="00CF367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Нормативный правовой акт муниципального образования, устанавливающий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предоставления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CF367F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rPr>
          <w:trHeight w:val="1059"/>
        </w:trPr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установленных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r w:rsidRPr="00CF367F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rPr>
          <w:trHeight w:val="1023"/>
        </w:trPr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rPr>
          <w:trHeight w:val="1925"/>
        </w:trPr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rPr>
          <w:trHeight w:val="374"/>
        </w:trPr>
        <w:tc>
          <w:tcPr>
            <w:tcW w:w="10348" w:type="dxa"/>
            <w:gridSpan w:val="3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Фискальные</w:t>
            </w:r>
            <w:r w:rsidRPr="00CF36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</w:t>
            </w:r>
            <w:r w:rsidRPr="00CF367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367F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  <w:proofErr w:type="spellEnd"/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8B4DDF" w:rsidRPr="00CF367F" w:rsidTr="001820F6">
        <w:trPr>
          <w:trHeight w:val="1095"/>
        </w:trPr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CF367F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правовыми актами муниципального образования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367F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B4DDF" w:rsidRPr="00CF367F" w:rsidTr="001820F6">
        <w:tc>
          <w:tcPr>
            <w:tcW w:w="564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382" w:type="dxa"/>
          </w:tcPr>
          <w:p w:rsidR="008B4DDF" w:rsidRPr="00CF367F" w:rsidRDefault="008B4DDF" w:rsidP="0018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  <w:r w:rsidRPr="00CF36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B4DDF" w:rsidRPr="00CF367F" w:rsidRDefault="008B4DDF" w:rsidP="001820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36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муниципального образования </w:t>
            </w:r>
          </w:p>
        </w:tc>
      </w:tr>
    </w:tbl>
    <w:p w:rsidR="008B4DDF" w:rsidRPr="00CF367F" w:rsidRDefault="008B4DDF" w:rsidP="008B4DD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462ED" w:rsidRPr="00121FDA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C462ED" w:rsidRPr="00121FDA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C462ED" w:rsidRPr="00121FDA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C462ED" w:rsidRPr="00C462ED" w:rsidRDefault="00C462ED" w:rsidP="000668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6689D"/>
    <w:rsid w:val="00066E43"/>
    <w:rsid w:val="000D2182"/>
    <w:rsid w:val="001068BA"/>
    <w:rsid w:val="00121FDA"/>
    <w:rsid w:val="001551E2"/>
    <w:rsid w:val="001D367C"/>
    <w:rsid w:val="002F34A0"/>
    <w:rsid w:val="00325EFF"/>
    <w:rsid w:val="003372E2"/>
    <w:rsid w:val="003A0DCE"/>
    <w:rsid w:val="003B4616"/>
    <w:rsid w:val="0042412D"/>
    <w:rsid w:val="004272A4"/>
    <w:rsid w:val="00467543"/>
    <w:rsid w:val="00473D86"/>
    <w:rsid w:val="005A07EB"/>
    <w:rsid w:val="00601AFB"/>
    <w:rsid w:val="006C32F5"/>
    <w:rsid w:val="007054F4"/>
    <w:rsid w:val="007965C7"/>
    <w:rsid w:val="007F47EC"/>
    <w:rsid w:val="0081652E"/>
    <w:rsid w:val="00873BA7"/>
    <w:rsid w:val="008772EB"/>
    <w:rsid w:val="0089302C"/>
    <w:rsid w:val="008B2B2E"/>
    <w:rsid w:val="008B4DDF"/>
    <w:rsid w:val="008B60F7"/>
    <w:rsid w:val="008C2490"/>
    <w:rsid w:val="008C6736"/>
    <w:rsid w:val="008F5962"/>
    <w:rsid w:val="00935D63"/>
    <w:rsid w:val="00975469"/>
    <w:rsid w:val="009805B3"/>
    <w:rsid w:val="0099369E"/>
    <w:rsid w:val="009B0C99"/>
    <w:rsid w:val="009D5C7C"/>
    <w:rsid w:val="00A42712"/>
    <w:rsid w:val="00B04797"/>
    <w:rsid w:val="00BE27E8"/>
    <w:rsid w:val="00BE30AE"/>
    <w:rsid w:val="00C27BD5"/>
    <w:rsid w:val="00C462ED"/>
    <w:rsid w:val="00C7321C"/>
    <w:rsid w:val="00C8269A"/>
    <w:rsid w:val="00CC7AC4"/>
    <w:rsid w:val="00DE7B26"/>
    <w:rsid w:val="00E10738"/>
    <w:rsid w:val="00E40F48"/>
    <w:rsid w:val="00E519C0"/>
    <w:rsid w:val="00E666E7"/>
    <w:rsid w:val="00F133BD"/>
    <w:rsid w:val="00F20861"/>
    <w:rsid w:val="00F31570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8B60F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B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60290-55DE-49D0-A91C-0FA056DA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41</cp:revision>
  <cp:lastPrinted>2016-09-06T07:37:00Z</cp:lastPrinted>
  <dcterms:created xsi:type="dcterms:W3CDTF">2016-09-06T07:19:00Z</dcterms:created>
  <dcterms:modified xsi:type="dcterms:W3CDTF">2020-03-26T13:44:00Z</dcterms:modified>
</cp:coreProperties>
</file>